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78" w:rsidRPr="007D7FC5" w:rsidRDefault="00942A78" w:rsidP="00942A78">
      <w:pPr>
        <w:pStyle w:val="Title"/>
        <w:rPr>
          <w:sz w:val="36"/>
          <w:szCs w:val="32"/>
        </w:rPr>
      </w:pPr>
      <w:r w:rsidRPr="007D7FC5">
        <w:rPr>
          <w:sz w:val="36"/>
          <w:szCs w:val="32"/>
        </w:rPr>
        <w:t xml:space="preserve">PHARMACY COUNCIL OF </w:t>
      </w:r>
      <w:smartTag w:uri="urn:schemas-microsoft-com:office:smarttags" w:element="country-region">
        <w:smartTag w:uri="urn:schemas-microsoft-com:office:smarttags" w:element="place">
          <w:r w:rsidRPr="007D7FC5">
            <w:rPr>
              <w:sz w:val="36"/>
              <w:szCs w:val="32"/>
            </w:rPr>
            <w:t>INDIA</w:t>
          </w:r>
        </w:smartTag>
      </w:smartTag>
    </w:p>
    <w:p w:rsidR="00942A78" w:rsidRDefault="00942A78" w:rsidP="00942A78">
      <w:pPr>
        <w:jc w:val="center"/>
        <w:rPr>
          <w:b/>
          <w:sz w:val="23"/>
          <w:szCs w:val="21"/>
        </w:rPr>
      </w:pPr>
      <w:r w:rsidRPr="00980DA1">
        <w:rPr>
          <w:b/>
          <w:sz w:val="23"/>
          <w:szCs w:val="21"/>
        </w:rPr>
        <w:t>(Constituted under the Pharmacy Act, 1948)</w:t>
      </w:r>
    </w:p>
    <w:p w:rsidR="00942A78" w:rsidRPr="00833CA2" w:rsidRDefault="00942A78" w:rsidP="00942A78">
      <w:pPr>
        <w:jc w:val="center"/>
        <w:rPr>
          <w:b/>
          <w:sz w:val="3"/>
          <w:szCs w:val="21"/>
        </w:rPr>
      </w:pPr>
    </w:p>
    <w:p w:rsidR="00942A78" w:rsidRPr="00E770A8" w:rsidRDefault="00942A78" w:rsidP="00942A78">
      <w:pPr>
        <w:jc w:val="center"/>
        <w:rPr>
          <w:b/>
          <w:sz w:val="7"/>
          <w:szCs w:val="21"/>
        </w:rPr>
      </w:pPr>
    </w:p>
    <w:p w:rsidR="00942A78" w:rsidRPr="001249A3" w:rsidRDefault="00942A78" w:rsidP="00942A78">
      <w:pPr>
        <w:ind w:left="840" w:hanging="840"/>
        <w:rPr>
          <w:b/>
          <w:sz w:val="22"/>
          <w:szCs w:val="22"/>
        </w:rPr>
      </w:pPr>
      <w:r w:rsidRPr="001249A3">
        <w:rPr>
          <w:b/>
          <w:sz w:val="22"/>
          <w:szCs w:val="22"/>
          <w:lang w:val="de-DE"/>
        </w:rPr>
        <w:t xml:space="preserve">E-MAIL </w:t>
      </w:r>
      <w:r w:rsidRPr="001249A3">
        <w:rPr>
          <w:b/>
          <w:sz w:val="22"/>
          <w:szCs w:val="22"/>
          <w:lang w:val="de-DE"/>
        </w:rPr>
        <w:tab/>
        <w:t>:  pci@ndb.vsnl.net.in</w:t>
      </w:r>
      <w:r w:rsidRPr="001249A3">
        <w:rPr>
          <w:b/>
          <w:sz w:val="22"/>
          <w:szCs w:val="22"/>
        </w:rPr>
        <w:tab/>
      </w:r>
      <w:r w:rsidRPr="001249A3">
        <w:rPr>
          <w:b/>
          <w:sz w:val="22"/>
          <w:szCs w:val="22"/>
        </w:rPr>
        <w:tab/>
      </w:r>
      <w:r w:rsidRPr="001249A3">
        <w:rPr>
          <w:b/>
          <w:sz w:val="22"/>
          <w:szCs w:val="22"/>
        </w:rPr>
        <w:tab/>
        <w:t>NBCC Centre, 3</w:t>
      </w:r>
      <w:r w:rsidRPr="001249A3">
        <w:rPr>
          <w:b/>
          <w:sz w:val="22"/>
          <w:szCs w:val="22"/>
          <w:vertAlign w:val="superscript"/>
        </w:rPr>
        <w:t>rd</w:t>
      </w:r>
      <w:r w:rsidRPr="001249A3">
        <w:rPr>
          <w:b/>
          <w:sz w:val="22"/>
          <w:szCs w:val="22"/>
        </w:rPr>
        <w:t xml:space="preserve"> Floor,</w:t>
      </w:r>
    </w:p>
    <w:p w:rsidR="00942A78" w:rsidRPr="001249A3" w:rsidRDefault="00942A78" w:rsidP="00942A78">
      <w:pPr>
        <w:pStyle w:val="Heading2"/>
        <w:jc w:val="left"/>
        <w:rPr>
          <w:sz w:val="22"/>
          <w:szCs w:val="22"/>
        </w:rPr>
      </w:pPr>
      <w:r w:rsidRPr="001249A3">
        <w:rPr>
          <w:sz w:val="22"/>
          <w:szCs w:val="22"/>
        </w:rPr>
        <w:t xml:space="preserve">WEBSITE </w:t>
      </w:r>
      <w:r w:rsidRPr="001249A3">
        <w:rPr>
          <w:sz w:val="22"/>
          <w:szCs w:val="22"/>
        </w:rPr>
        <w:tab/>
        <w:t>:  www.pci.nic.in</w:t>
      </w:r>
      <w:r w:rsidRPr="001249A3">
        <w:rPr>
          <w:sz w:val="22"/>
          <w:szCs w:val="22"/>
        </w:rPr>
        <w:tab/>
      </w:r>
      <w:r w:rsidRPr="001249A3">
        <w:rPr>
          <w:sz w:val="22"/>
          <w:szCs w:val="22"/>
        </w:rPr>
        <w:tab/>
      </w:r>
      <w:r w:rsidRPr="001249A3">
        <w:rPr>
          <w:sz w:val="22"/>
          <w:szCs w:val="22"/>
        </w:rPr>
        <w:tab/>
        <w:t>Plot No.2, Community Centre</w:t>
      </w:r>
    </w:p>
    <w:p w:rsidR="00942A78" w:rsidRPr="001249A3" w:rsidRDefault="00942A78" w:rsidP="00942A78">
      <w:pPr>
        <w:ind w:left="840" w:hanging="8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Telephone </w:t>
      </w:r>
      <w:r>
        <w:rPr>
          <w:b/>
          <w:sz w:val="22"/>
          <w:szCs w:val="22"/>
        </w:rPr>
        <w:tab/>
        <w:t xml:space="preserve">:  011-61299900, </w:t>
      </w:r>
      <w:r w:rsidRPr="001249A3">
        <w:rPr>
          <w:b/>
          <w:sz w:val="22"/>
          <w:szCs w:val="22"/>
        </w:rPr>
        <w:tab/>
      </w:r>
      <w:r w:rsidRPr="001249A3">
        <w:rPr>
          <w:b/>
          <w:sz w:val="22"/>
          <w:szCs w:val="22"/>
        </w:rPr>
        <w:tab/>
      </w:r>
      <w:r w:rsidRPr="001249A3">
        <w:rPr>
          <w:b/>
          <w:sz w:val="22"/>
          <w:szCs w:val="22"/>
        </w:rPr>
        <w:tab/>
      </w:r>
      <w:proofErr w:type="spellStart"/>
      <w:r w:rsidRPr="001249A3">
        <w:rPr>
          <w:b/>
          <w:sz w:val="22"/>
          <w:szCs w:val="22"/>
        </w:rPr>
        <w:t>Maa</w:t>
      </w:r>
      <w:proofErr w:type="spellEnd"/>
      <w:r w:rsidRPr="001249A3">
        <w:rPr>
          <w:b/>
          <w:sz w:val="22"/>
          <w:szCs w:val="22"/>
        </w:rPr>
        <w:t xml:space="preserve"> </w:t>
      </w:r>
      <w:proofErr w:type="spellStart"/>
      <w:r w:rsidRPr="001249A3">
        <w:rPr>
          <w:b/>
          <w:sz w:val="22"/>
          <w:szCs w:val="22"/>
        </w:rPr>
        <w:t>Anandamai</w:t>
      </w:r>
      <w:proofErr w:type="spellEnd"/>
      <w:r w:rsidRPr="001249A3">
        <w:rPr>
          <w:b/>
          <w:sz w:val="22"/>
          <w:szCs w:val="22"/>
        </w:rPr>
        <w:t xml:space="preserve"> </w:t>
      </w:r>
      <w:proofErr w:type="spellStart"/>
      <w:r w:rsidRPr="001249A3">
        <w:rPr>
          <w:b/>
          <w:sz w:val="22"/>
          <w:szCs w:val="22"/>
        </w:rPr>
        <w:t>Marg</w:t>
      </w:r>
      <w:proofErr w:type="spellEnd"/>
      <w:r w:rsidRPr="001249A3">
        <w:rPr>
          <w:b/>
          <w:sz w:val="22"/>
          <w:szCs w:val="22"/>
        </w:rPr>
        <w:t xml:space="preserve"> </w:t>
      </w:r>
    </w:p>
    <w:p w:rsidR="00942A78" w:rsidRPr="001249A3" w:rsidRDefault="00942A78" w:rsidP="00942A78">
      <w:pPr>
        <w:ind w:left="840" w:hanging="840"/>
        <w:rPr>
          <w:b/>
          <w:sz w:val="22"/>
          <w:szCs w:val="22"/>
          <w:lang w:val="de-DE"/>
        </w:rPr>
      </w:pPr>
      <w:r w:rsidRPr="001249A3">
        <w:rPr>
          <w:b/>
          <w:sz w:val="22"/>
          <w:szCs w:val="22"/>
          <w:lang w:val="de-DE"/>
        </w:rPr>
        <w:tab/>
      </w:r>
      <w:r w:rsidRPr="001249A3"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 xml:space="preserve">   </w:t>
      </w:r>
      <w:r>
        <w:rPr>
          <w:b/>
          <w:sz w:val="22"/>
          <w:szCs w:val="22"/>
        </w:rPr>
        <w:t xml:space="preserve">011-61299901, 61299902 </w:t>
      </w:r>
      <w:r w:rsidRPr="001249A3">
        <w:rPr>
          <w:b/>
          <w:sz w:val="22"/>
          <w:szCs w:val="22"/>
          <w:lang w:val="de-DE"/>
        </w:rPr>
        <w:tab/>
      </w:r>
      <w:r w:rsidRPr="001249A3">
        <w:rPr>
          <w:b/>
          <w:sz w:val="22"/>
          <w:szCs w:val="22"/>
          <w:lang w:val="de-DE"/>
        </w:rPr>
        <w:tab/>
      </w:r>
      <w:proofErr w:type="spellStart"/>
      <w:r w:rsidRPr="001249A3">
        <w:rPr>
          <w:b/>
          <w:sz w:val="22"/>
          <w:szCs w:val="22"/>
        </w:rPr>
        <w:t>Okhla</w:t>
      </w:r>
      <w:proofErr w:type="spellEnd"/>
      <w:r w:rsidRPr="001249A3">
        <w:rPr>
          <w:b/>
          <w:sz w:val="22"/>
          <w:szCs w:val="22"/>
        </w:rPr>
        <w:t xml:space="preserve"> Phase I</w:t>
      </w:r>
    </w:p>
    <w:p w:rsidR="00942A78" w:rsidRPr="0000024D" w:rsidRDefault="00942A78" w:rsidP="00942A78">
      <w:pPr>
        <w:pStyle w:val="NoSpacing"/>
        <w:rPr>
          <w:rFonts w:ascii="Times New Roman" w:hAnsi="Times New Roman"/>
        </w:rPr>
      </w:pPr>
      <w:r w:rsidRPr="001249A3">
        <w:rPr>
          <w:b/>
        </w:rPr>
        <w:tab/>
      </w:r>
      <w:r w:rsidRPr="001249A3">
        <w:rPr>
          <w:b/>
        </w:rPr>
        <w:tab/>
        <w:t xml:space="preserve"> </w:t>
      </w:r>
      <w:r>
        <w:rPr>
          <w:b/>
        </w:rPr>
        <w:t xml:space="preserve">  011-61299903 </w:t>
      </w:r>
      <w:r w:rsidRPr="001249A3">
        <w:rPr>
          <w:b/>
        </w:rPr>
        <w:tab/>
      </w:r>
      <w:r w:rsidRPr="001249A3">
        <w:rPr>
          <w:b/>
        </w:rPr>
        <w:tab/>
      </w:r>
      <w:r w:rsidRPr="001249A3">
        <w:rPr>
          <w:b/>
        </w:rPr>
        <w:tab/>
      </w:r>
      <w:smartTag w:uri="urn:schemas-microsoft-com:office:smarttags" w:element="place">
        <w:smartTag w:uri="urn:schemas-microsoft-com:office:smarttags" w:element="City">
          <w:r w:rsidRPr="001249A3">
            <w:rPr>
              <w:b/>
            </w:rPr>
            <w:t>NEW DELHI</w:t>
          </w:r>
        </w:smartTag>
      </w:smartTag>
      <w:r w:rsidRPr="001249A3">
        <w:rPr>
          <w:b/>
        </w:rPr>
        <w:t xml:space="preserve"> – 110 0</w:t>
      </w:r>
      <w:r>
        <w:rPr>
          <w:b/>
        </w:rPr>
        <w:t>20</w:t>
      </w:r>
      <w:r w:rsidRPr="003166EF">
        <w:rPr>
          <w:b/>
          <w:sz w:val="21"/>
          <w:szCs w:val="21"/>
        </w:rPr>
        <w:tab/>
      </w:r>
      <w:r w:rsidRPr="003166EF">
        <w:rPr>
          <w:b/>
          <w:sz w:val="21"/>
          <w:szCs w:val="21"/>
        </w:rPr>
        <w:tab/>
      </w:r>
    </w:p>
    <w:p w:rsidR="00942A78" w:rsidRPr="0000024D" w:rsidRDefault="00942A78" w:rsidP="00942A78">
      <w:pPr>
        <w:pStyle w:val="NoSpacing"/>
        <w:rPr>
          <w:rFonts w:ascii="Times New Roman" w:hAnsi="Times New Roman"/>
        </w:rPr>
      </w:pPr>
    </w:p>
    <w:p w:rsidR="00942A78" w:rsidRDefault="00942A78" w:rsidP="00942A78">
      <w:pPr>
        <w:pStyle w:val="NoSpacing"/>
        <w:rPr>
          <w:rFonts w:ascii="Times New Roman" w:hAnsi="Times New Roman"/>
        </w:rPr>
      </w:pPr>
      <w:r w:rsidRPr="0000024D">
        <w:rPr>
          <w:rFonts w:ascii="Times New Roman" w:hAnsi="Times New Roman"/>
        </w:rPr>
        <w:t>Ref.No.14-56/2019-PCI</w:t>
      </w:r>
    </w:p>
    <w:p w:rsidR="00942A78" w:rsidRPr="0000024D" w:rsidRDefault="00942A78" w:rsidP="00942A7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4698D">
        <w:rPr>
          <w:rFonts w:ascii="Times New Roman" w:hAnsi="Times New Roman"/>
        </w:rPr>
        <w:t>Online Application 2019 (Pt-1)</w:t>
      </w:r>
    </w:p>
    <w:p w:rsidR="00942A78" w:rsidRDefault="00942A78" w:rsidP="00942A78">
      <w:pPr>
        <w:pStyle w:val="NoSpacing"/>
        <w:rPr>
          <w:rFonts w:ascii="Times New Roman" w:hAnsi="Times New Roman"/>
        </w:rPr>
      </w:pPr>
    </w:p>
    <w:p w:rsidR="00942A78" w:rsidRDefault="00942A78" w:rsidP="00942A78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F8121F">
        <w:rPr>
          <w:rFonts w:ascii="Times New Roman" w:hAnsi="Times New Roman"/>
          <w:b/>
          <w:sz w:val="28"/>
          <w:u w:val="single"/>
        </w:rPr>
        <w:t>NOTICE</w:t>
      </w:r>
    </w:p>
    <w:p w:rsidR="00942A78" w:rsidRPr="00F8121F" w:rsidRDefault="00942A78" w:rsidP="00942A78">
      <w:pPr>
        <w:pStyle w:val="NoSpacing"/>
        <w:jc w:val="both"/>
        <w:rPr>
          <w:rFonts w:ascii="Times New Roman" w:hAnsi="Times New Roman"/>
          <w:b/>
          <w:sz w:val="40"/>
          <w:u w:val="single"/>
        </w:rPr>
      </w:pPr>
    </w:p>
    <w:p w:rsidR="00942A78" w:rsidRPr="0000024D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  <w:r w:rsidRPr="003D39C8">
        <w:rPr>
          <w:rFonts w:ascii="Times New Roman" w:hAnsi="Times New Roman"/>
          <w:b/>
        </w:rPr>
        <w:t>1.</w:t>
      </w:r>
      <w:r w:rsidRPr="0000024D">
        <w:rPr>
          <w:rFonts w:ascii="Times New Roman" w:hAnsi="Times New Roman"/>
        </w:rPr>
        <w:tab/>
        <w:t>The decisions</w:t>
      </w:r>
      <w:r>
        <w:rPr>
          <w:rFonts w:ascii="Times New Roman" w:hAnsi="Times New Roman"/>
        </w:rPr>
        <w:t xml:space="preserve"> of the 106</w:t>
      </w:r>
      <w:r w:rsidRPr="0000024D">
        <w:rPr>
          <w:rFonts w:ascii="Times New Roman" w:hAnsi="Times New Roman"/>
        </w:rPr>
        <w:t>th</w:t>
      </w:r>
      <w:r>
        <w:rPr>
          <w:rFonts w:ascii="Times New Roman" w:hAnsi="Times New Roman"/>
        </w:rPr>
        <w:t xml:space="preserve"> Central Council (April, 2019) of the PCI on the applications received from the pharmacy institutions have been uploaded on the Council’s website.   </w:t>
      </w:r>
    </w:p>
    <w:p w:rsidR="00942A78" w:rsidRPr="0000024D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</w:p>
    <w:p w:rsidR="00942A78" w:rsidRDefault="00942A78" w:rsidP="00942A78">
      <w:pPr>
        <w:pStyle w:val="NoSpacing"/>
        <w:ind w:left="426" w:hanging="426"/>
        <w:jc w:val="both"/>
        <w:rPr>
          <w:rFonts w:ascii="Times New Roman" w:hAnsi="Times New Roman"/>
          <w:b/>
        </w:rPr>
      </w:pPr>
      <w:r w:rsidRPr="003D39C8">
        <w:rPr>
          <w:rFonts w:ascii="Times New Roman" w:hAnsi="Times New Roman"/>
          <w:b/>
        </w:rPr>
        <w:t>2.</w:t>
      </w:r>
      <w:r w:rsidRPr="0000024D">
        <w:rPr>
          <w:rFonts w:ascii="Times New Roman" w:hAnsi="Times New Roman"/>
        </w:rPr>
        <w:tab/>
        <w:t>If any institution wishes to make an appeal</w:t>
      </w:r>
      <w:r>
        <w:rPr>
          <w:rFonts w:ascii="Times New Roman" w:hAnsi="Times New Roman"/>
        </w:rPr>
        <w:t xml:space="preserve"> against the decision regarding rejection of proposal or on any other account, it </w:t>
      </w:r>
      <w:r w:rsidRPr="0000024D">
        <w:rPr>
          <w:rFonts w:ascii="Times New Roman" w:hAnsi="Times New Roman"/>
        </w:rPr>
        <w:t xml:space="preserve">may do so </w:t>
      </w:r>
      <w:r>
        <w:rPr>
          <w:rFonts w:ascii="Times New Roman" w:hAnsi="Times New Roman"/>
        </w:rPr>
        <w:t xml:space="preserve">through an </w:t>
      </w:r>
      <w:proofErr w:type="spellStart"/>
      <w:r>
        <w:rPr>
          <w:rFonts w:ascii="Times New Roman" w:hAnsi="Times New Roman"/>
        </w:rPr>
        <w:t>e.mail</w:t>
      </w:r>
      <w:proofErr w:type="spellEnd"/>
      <w:r>
        <w:rPr>
          <w:rFonts w:ascii="Times New Roman" w:hAnsi="Times New Roman"/>
        </w:rPr>
        <w:t xml:space="preserve"> on Council’s </w:t>
      </w:r>
      <w:proofErr w:type="spellStart"/>
      <w:r>
        <w:rPr>
          <w:rFonts w:ascii="Times New Roman" w:hAnsi="Times New Roman"/>
        </w:rPr>
        <w:t>e.mail</w:t>
      </w:r>
      <w:proofErr w:type="spellEnd"/>
      <w:r>
        <w:rPr>
          <w:rFonts w:ascii="Times New Roman" w:hAnsi="Times New Roman"/>
        </w:rPr>
        <w:t xml:space="preserve"> ID </w:t>
      </w:r>
      <w:proofErr w:type="gramStart"/>
      <w:r>
        <w:rPr>
          <w:rFonts w:ascii="Times New Roman" w:hAnsi="Times New Roman"/>
        </w:rPr>
        <w:t>pci@ndb.vsnl.net.in  in</w:t>
      </w:r>
      <w:proofErr w:type="gramEnd"/>
      <w:r>
        <w:rPr>
          <w:rFonts w:ascii="Times New Roman" w:hAnsi="Times New Roman"/>
        </w:rPr>
        <w:t xml:space="preserve"> the following format on or before 20</w:t>
      </w:r>
      <w:r w:rsidRPr="003D39C8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April, 2019 -</w:t>
      </w: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pict>
          <v:rect id="_x0000_s1027" style="position:absolute;left:0;text-align:left;margin-left:9pt;margin-top:8.75pt;width:450pt;height:3in;z-index:-251655168"/>
        </w:pict>
      </w: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pt;margin-top:7.8pt;width:126pt;height:36pt;z-index:251660288">
            <v:textbox style="mso-next-textbox:#_x0000_s1026">
              <w:txbxContent>
                <w:p w:rsidR="00942A78" w:rsidRPr="002267FD" w:rsidRDefault="00942A78" w:rsidP="00942A78">
                  <w:pPr>
                    <w:jc w:val="center"/>
                    <w:rPr>
                      <w:b/>
                      <w:sz w:val="28"/>
                    </w:rPr>
                  </w:pPr>
                  <w:r w:rsidRPr="002267FD">
                    <w:rPr>
                      <w:b/>
                      <w:sz w:val="28"/>
                    </w:rPr>
                    <w:t>Appeal</w:t>
                  </w:r>
                </w:p>
                <w:p w:rsidR="00942A78" w:rsidRPr="00606C60" w:rsidRDefault="00942A78" w:rsidP="00942A7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60">
                    <w:rPr>
                      <w:b/>
                      <w:sz w:val="18"/>
                      <w:szCs w:val="18"/>
                    </w:rPr>
                    <w:t>Please make sure to write it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</w:rPr>
        <w:tab/>
      </w: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</w:p>
    <w:p w:rsidR="00942A78" w:rsidRDefault="00942A78" w:rsidP="00942A78">
      <w:pPr>
        <w:pStyle w:val="NoSpacing"/>
        <w:ind w:left="426" w:hanging="426"/>
        <w:jc w:val="both"/>
        <w:rPr>
          <w:rFonts w:ascii="Times New Roman" w:hAnsi="Times New Roman"/>
          <w:b/>
        </w:rPr>
      </w:pPr>
      <w:r w:rsidRPr="00E67F80">
        <w:rPr>
          <w:rFonts w:ascii="Times New Roman" w:hAnsi="Times New Roman"/>
        </w:rPr>
        <w:tab/>
        <w:t>a)</w:t>
      </w:r>
      <w:r w:rsidRPr="00E67F80">
        <w:rPr>
          <w:rFonts w:ascii="Times New Roman" w:hAnsi="Times New Roman"/>
        </w:rPr>
        <w:tab/>
        <w:t xml:space="preserve">Name of institution with </w:t>
      </w:r>
      <w:r w:rsidRPr="00E67F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___________________________________</w:t>
      </w:r>
    </w:p>
    <w:p w:rsidR="00942A78" w:rsidRDefault="00942A78" w:rsidP="00942A78">
      <w:pPr>
        <w:pStyle w:val="NoSpacing"/>
        <w:jc w:val="both"/>
        <w:rPr>
          <w:rFonts w:ascii="Times New Roman" w:hAnsi="Times New Roman"/>
        </w:rPr>
      </w:pPr>
      <w:r w:rsidRPr="00411033">
        <w:rPr>
          <w:rFonts w:ascii="Times New Roman" w:hAnsi="Times New Roman"/>
        </w:rPr>
        <w:tab/>
      </w:r>
      <w:proofErr w:type="gramStart"/>
      <w:r w:rsidRPr="00411033">
        <w:rPr>
          <w:rFonts w:ascii="Times New Roman" w:hAnsi="Times New Roman"/>
        </w:rPr>
        <w:t>with</w:t>
      </w:r>
      <w:proofErr w:type="gramEnd"/>
      <w:r w:rsidRPr="00411033">
        <w:rPr>
          <w:rFonts w:ascii="Times New Roman" w:hAnsi="Times New Roman"/>
        </w:rPr>
        <w:t xml:space="preserve"> complete postal address</w:t>
      </w:r>
    </w:p>
    <w:p w:rsidR="00942A78" w:rsidRDefault="00942A78" w:rsidP="00942A78">
      <w:pPr>
        <w:pStyle w:val="NoSpacing"/>
        <w:jc w:val="both"/>
        <w:rPr>
          <w:rFonts w:ascii="Times New Roman" w:hAnsi="Times New Roman"/>
        </w:rPr>
      </w:pPr>
    </w:p>
    <w:p w:rsidR="00942A78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</w:t>
      </w:r>
      <w:r>
        <w:rPr>
          <w:rFonts w:ascii="Times New Roman" w:hAnsi="Times New Roman"/>
        </w:rPr>
        <w:tab/>
        <w:t>Institution’s ID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___________________________________</w:t>
      </w:r>
    </w:p>
    <w:p w:rsidR="00942A78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</w:p>
    <w:p w:rsidR="00942A78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c)</w:t>
      </w:r>
      <w:r>
        <w:rPr>
          <w:rFonts w:ascii="Times New Roman" w:hAnsi="Times New Roman"/>
        </w:rPr>
        <w:tab/>
        <w:t>Decision of the PCI against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___________________________________</w:t>
      </w:r>
    </w:p>
    <w:p w:rsidR="00942A78" w:rsidRPr="00411033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which</w:t>
      </w:r>
      <w:proofErr w:type="gramEnd"/>
      <w:r>
        <w:rPr>
          <w:rFonts w:ascii="Times New Roman" w:hAnsi="Times New Roman"/>
        </w:rPr>
        <w:t xml:space="preserve"> appeal is made </w:t>
      </w: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</w:p>
    <w:p w:rsidR="00942A78" w:rsidRPr="002267FD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  <w:r w:rsidRPr="002267FD">
        <w:rPr>
          <w:rFonts w:ascii="Times New Roman" w:hAnsi="Times New Roman"/>
        </w:rPr>
        <w:tab/>
        <w:t>d)</w:t>
      </w:r>
      <w:r w:rsidRPr="002267FD">
        <w:rPr>
          <w:rFonts w:ascii="Times New Roman" w:hAnsi="Times New Roman"/>
        </w:rPr>
        <w:tab/>
        <w:t>Grounds / justification for appeal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___________________________________</w:t>
      </w: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942A78" w:rsidRDefault="00942A78" w:rsidP="00942A78">
      <w:pPr>
        <w:pStyle w:val="NoSpacing"/>
        <w:jc w:val="both"/>
        <w:rPr>
          <w:rFonts w:ascii="Times New Roman" w:hAnsi="Times New Roman"/>
          <w:b/>
        </w:rPr>
      </w:pPr>
    </w:p>
    <w:p w:rsidR="00942A78" w:rsidRDefault="00942A78" w:rsidP="00942A78">
      <w:pPr>
        <w:pStyle w:val="NoSpacing"/>
        <w:ind w:left="426" w:hanging="426"/>
        <w:jc w:val="both"/>
        <w:rPr>
          <w:rFonts w:ascii="Times New Roman" w:hAnsi="Times New Roman"/>
          <w:b/>
        </w:rPr>
      </w:pPr>
    </w:p>
    <w:p w:rsidR="00942A78" w:rsidRPr="000C77B9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  <w:r w:rsidRPr="000C77B9">
        <w:rPr>
          <w:rFonts w:ascii="Times New Roman" w:hAnsi="Times New Roman"/>
          <w:b/>
        </w:rPr>
        <w:t>3.</w:t>
      </w:r>
      <w:r w:rsidRPr="000C77B9">
        <w:rPr>
          <w:rFonts w:ascii="Times New Roman" w:hAnsi="Times New Roman"/>
        </w:rPr>
        <w:tab/>
        <w:t xml:space="preserve">For deficiencies, you can view the inspection report of your institution on your dashboard </w:t>
      </w:r>
      <w:r>
        <w:rPr>
          <w:rFonts w:ascii="Times New Roman" w:hAnsi="Times New Roman"/>
        </w:rPr>
        <w:t>t</w:t>
      </w:r>
      <w:r w:rsidRPr="000C77B9">
        <w:rPr>
          <w:rFonts w:ascii="Times New Roman" w:hAnsi="Times New Roman"/>
        </w:rPr>
        <w:t>hrough your login credential.</w:t>
      </w:r>
    </w:p>
    <w:p w:rsidR="00942A78" w:rsidRDefault="00942A78" w:rsidP="00942A78">
      <w:pPr>
        <w:pStyle w:val="NoSpacing"/>
        <w:ind w:left="426" w:hanging="426"/>
        <w:jc w:val="both"/>
        <w:rPr>
          <w:rFonts w:ascii="Times New Roman" w:hAnsi="Times New Roman"/>
          <w:b/>
        </w:rPr>
      </w:pPr>
    </w:p>
    <w:p w:rsidR="00942A78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Pr="00606C60">
        <w:rPr>
          <w:rFonts w:ascii="Times New Roman" w:hAnsi="Times New Roman"/>
          <w:b/>
        </w:rPr>
        <w:t>.</w:t>
      </w:r>
      <w:r w:rsidRPr="0000024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An opportunity of personal hearing will be given to such appellants in the Council’s office </w:t>
      </w:r>
      <w:proofErr w:type="gramStart"/>
      <w:r>
        <w:rPr>
          <w:rFonts w:ascii="Times New Roman" w:hAnsi="Times New Roman"/>
        </w:rPr>
        <w:t>between 21</w:t>
      </w:r>
      <w:r w:rsidRPr="005D4C1D"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 to 25</w:t>
      </w:r>
      <w:r w:rsidRPr="005D4C1D">
        <w:rPr>
          <w:rFonts w:ascii="Times New Roman" w:hAnsi="Times New Roman"/>
        </w:rPr>
        <w:t>th</w:t>
      </w:r>
      <w:r>
        <w:rPr>
          <w:rFonts w:ascii="Times New Roman" w:hAnsi="Times New Roman"/>
        </w:rPr>
        <w:t xml:space="preserve"> April, 2019</w:t>
      </w:r>
      <w:proofErr w:type="gramEnd"/>
      <w:r>
        <w:rPr>
          <w:rFonts w:ascii="Times New Roman" w:hAnsi="Times New Roman"/>
        </w:rPr>
        <w:t>.  The exact date and time of hearing will be intimated to the appellant through mail.</w:t>
      </w:r>
    </w:p>
    <w:p w:rsidR="00942A78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</w:p>
    <w:p w:rsidR="00942A78" w:rsidRPr="0000024D" w:rsidRDefault="00942A78" w:rsidP="00942A78">
      <w:pPr>
        <w:pStyle w:val="NoSpacing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Pr="00606C60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  <w:t>While appearing for personal hearing, an institution is required to submit a duly notarized affidavit on court paper to the effect that all documents / compliance submitted to the hearing committee is correct and if found false at a later date, approval granted by the Council shall be withdrawn.</w:t>
      </w:r>
    </w:p>
    <w:p w:rsidR="00942A78" w:rsidRDefault="00942A78" w:rsidP="00942A78">
      <w:pPr>
        <w:rPr>
          <w:b/>
        </w:rPr>
      </w:pPr>
    </w:p>
    <w:p w:rsidR="00942A78" w:rsidRPr="00C6077D" w:rsidRDefault="00942A78" w:rsidP="00942A78">
      <w:pPr>
        <w:rPr>
          <w:b/>
        </w:rPr>
      </w:pPr>
      <w:r w:rsidRPr="00C6077D">
        <w:rPr>
          <w:b/>
        </w:rPr>
        <w:t>(ARCHNA MUDGAL)</w:t>
      </w:r>
    </w:p>
    <w:p w:rsidR="00E9511C" w:rsidRPr="00942A78" w:rsidRDefault="00942A78" w:rsidP="00942A78">
      <w:pPr>
        <w:rPr>
          <w:b/>
        </w:rPr>
      </w:pPr>
      <w:r w:rsidRPr="00C6077D">
        <w:rPr>
          <w:b/>
        </w:rPr>
        <w:t>Registrar-cum-Secretary</w:t>
      </w:r>
    </w:p>
    <w:sectPr w:rsidR="00E9511C" w:rsidRPr="00942A78" w:rsidSect="00E95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42A78"/>
    <w:rsid w:val="00145900"/>
    <w:rsid w:val="004046F6"/>
    <w:rsid w:val="00942A78"/>
    <w:rsid w:val="00E9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42A78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2A78"/>
    <w:rPr>
      <w:rFonts w:ascii="Times New Roman" w:eastAsia="Calibri" w:hAnsi="Times New Roman" w:cs="Times New Roman"/>
      <w:b/>
      <w:sz w:val="24"/>
      <w:szCs w:val="20"/>
      <w:lang w:val="en-US"/>
    </w:rPr>
  </w:style>
  <w:style w:type="paragraph" w:styleId="NoSpacing">
    <w:name w:val="No Spacing"/>
    <w:qFormat/>
    <w:rsid w:val="00942A78"/>
    <w:pPr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942A78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42A78"/>
    <w:rPr>
      <w:rFonts w:ascii="Times New Roman" w:eastAsia="Calibri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Help Desk3</dc:creator>
  <cp:lastModifiedBy>IT Help Desk3</cp:lastModifiedBy>
  <cp:revision>1</cp:revision>
  <dcterms:created xsi:type="dcterms:W3CDTF">2019-04-15T05:52:00Z</dcterms:created>
  <dcterms:modified xsi:type="dcterms:W3CDTF">2019-04-15T05:53:00Z</dcterms:modified>
</cp:coreProperties>
</file>